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ind w:left="1119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достижении значений целевых показателей (индикаторов) результативности муниципальной программы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«Эффективное управление муниципальными финансами ЗАТО Северск» на 2025 - 2027 годы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2025 год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1"/>
        <w:gridCol w:w="4063"/>
        <w:gridCol w:w="1147"/>
        <w:gridCol w:w="1313"/>
        <w:gridCol w:w="1348"/>
        <w:gridCol w:w="1508"/>
        <w:gridCol w:w="1278"/>
        <w:gridCol w:w="3422"/>
      </w:tblGrid>
      <w:tr>
        <w:trPr>
          <w:trHeight w:val="705"/>
        </w:trPr>
        <w:tc>
          <w:tcPr>
            <w:tcW w:w="1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95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394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871" w:type="pct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целевых показателей (индикаторов) результативности муниципальной программы</w:t>
            </w:r>
          </w:p>
        </w:tc>
        <w:tc>
          <w:tcPr>
            <w:tcW w:w="11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отклонений значений показателей (индикаторов) на конец отчетного года</w:t>
            </w:r>
          </w:p>
        </w:tc>
      </w:tr>
      <w:tr>
        <w:trPr>
          <w:trHeight w:val="236"/>
        </w:trPr>
        <w:tc>
          <w:tcPr>
            <w:tcW w:w="16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42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1320"/>
        </w:trPr>
        <w:tc>
          <w:tcPr>
            <w:tcW w:w="16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pct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  <w:proofErr w:type="gramEnd"/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  <w:proofErr w:type="gramEnd"/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достижения показателя (факт/план)</w:t>
            </w:r>
          </w:p>
        </w:tc>
        <w:tc>
          <w:tcPr>
            <w:tcW w:w="117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28" w:type="dxa"/>
          <w:bottom w:w="57" w:type="dxa"/>
          <w:right w:w="28" w:type="dxa"/>
        </w:tblCellMar>
        <w:tblLook w:val="04A0" w:firstRow="1" w:lastRow="0" w:firstColumn="1" w:lastColumn="0" w:noHBand="0" w:noVBand="1"/>
      </w:tblPr>
      <w:tblGrid>
        <w:gridCol w:w="481"/>
        <w:gridCol w:w="4063"/>
        <w:gridCol w:w="1147"/>
        <w:gridCol w:w="1313"/>
        <w:gridCol w:w="1348"/>
        <w:gridCol w:w="1508"/>
        <w:gridCol w:w="1278"/>
        <w:gridCol w:w="3422"/>
      </w:tblGrid>
      <w:tr>
        <w:trPr>
          <w:trHeight w:val="346"/>
          <w:tblHeader/>
        </w:trPr>
        <w:tc>
          <w:tcPr>
            <w:tcW w:w="165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3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7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>
        <w:trPr>
          <w:trHeight w:val="420"/>
        </w:trPr>
        <w:tc>
          <w:tcPr>
            <w:tcW w:w="5000" w:type="pct"/>
            <w:gridSpan w:val="8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Целевые показатели муниципальной программы «Эффективное управление муниципальными финансами ЗАТО Северск» на 2025 - 2027 годы</w:t>
            </w:r>
          </w:p>
        </w:tc>
      </w:tr>
      <w:tr>
        <w:trPr>
          <w:trHeight w:val="944"/>
        </w:trPr>
        <w:tc>
          <w:tcPr>
            <w:tcW w:w="165" w:type="pct"/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95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расходов бюджета, сформированных в рамках муниципальных программ, не менее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94,54</w:t>
            </w:r>
          </w:p>
        </w:tc>
        <w:tc>
          <w:tcPr>
            <w:tcW w:w="463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76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2025"/>
        </w:trPr>
        <w:tc>
          <w:tcPr>
            <w:tcW w:w="165" w:type="pct"/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95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налоговых и неналоговых доходов консолидированного бюджета ЗАТО Северск (за исключением поступлений налоговых доходов по дополнительным нормативам отчислений) в общем объеме собственных доходов (без учета субвенций)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25,81</w:t>
            </w:r>
          </w:p>
        </w:tc>
        <w:tc>
          <w:tcPr>
            <w:tcW w:w="463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26,81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76" w:type="pct"/>
            <w:shd w:val="clear" w:color="000000" w:fill="FFFFFF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фактически сложившимся данным</w:t>
            </w:r>
          </w:p>
        </w:tc>
      </w:tr>
      <w:tr>
        <w:trPr>
          <w:trHeight w:val="540"/>
        </w:trPr>
        <w:tc>
          <w:tcPr>
            <w:tcW w:w="165" w:type="pct"/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395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балльная оценка финансового менеджмента ГАБС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  <w:proofErr w:type="gramEnd"/>
          </w:p>
        </w:tc>
        <w:tc>
          <w:tcPr>
            <w:tcW w:w="451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  <w:tc>
          <w:tcPr>
            <w:tcW w:w="463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76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1059"/>
        </w:trPr>
        <w:tc>
          <w:tcPr>
            <w:tcW w:w="165" w:type="pct"/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395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бюджета на содержание работников органов местного самоуправления в расчете на одного жителя муниципального образования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proofErr w:type="gramEnd"/>
          </w:p>
        </w:tc>
        <w:tc>
          <w:tcPr>
            <w:tcW w:w="451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4 462,31</w:t>
            </w:r>
          </w:p>
        </w:tc>
        <w:tc>
          <w:tcPr>
            <w:tcW w:w="463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4 524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5 211,87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76" w:type="pct"/>
            <w:shd w:val="clear" w:color="000000" w:fill="FFFFFF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фактически сложившимся данным</w:t>
            </w:r>
          </w:p>
        </w:tc>
      </w:tr>
      <w:tr>
        <w:trPr>
          <w:trHeight w:val="315"/>
        </w:trPr>
        <w:tc>
          <w:tcPr>
            <w:tcW w:w="3385" w:type="pct"/>
            <w:gridSpan w:val="6"/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достижения показателей цели муниципальной программы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76" w:type="pct"/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>
        <w:trPr>
          <w:trHeight w:val="360"/>
        </w:trPr>
        <w:tc>
          <w:tcPr>
            <w:tcW w:w="5000" w:type="pct"/>
            <w:gridSpan w:val="8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Целевые показатели задачи 1 «Обеспечение эффективного управления средствами бюджета ЗАТО Северск»</w:t>
            </w:r>
          </w:p>
        </w:tc>
      </w:tr>
      <w:tr>
        <w:trPr>
          <w:trHeight w:val="1365"/>
        </w:trPr>
        <w:tc>
          <w:tcPr>
            <w:tcW w:w="165" w:type="pct"/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95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главных администраторов средств бюджета ЗАТО Северск, показавших положительную динамику оценки качества финансового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менеждмента</w:t>
            </w:r>
            <w:proofErr w:type="spellEnd"/>
          </w:p>
        </w:tc>
        <w:tc>
          <w:tcPr>
            <w:tcW w:w="394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63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76" w:type="pct"/>
            <w:shd w:val="clear" w:color="000000" w:fill="FFFFFF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2010"/>
        </w:trPr>
        <w:tc>
          <w:tcPr>
            <w:tcW w:w="165" w:type="pct"/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95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объем охваченных контрольными мероприятиями средств бюджета ЗАТО Северск в общем объеме бюджетных ассигнований, являющихся объектом муниципального финансового контроля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463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76" w:type="pct"/>
            <w:shd w:val="clear" w:color="000000" w:fill="FFFFFF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 по информации, представленной Комитетом внутреннего муниципального финансового контроля и контроля в сфере закупок Администрации ЗАТО Северск</w:t>
            </w:r>
          </w:p>
        </w:tc>
      </w:tr>
      <w:tr>
        <w:trPr>
          <w:trHeight w:val="1020"/>
        </w:trPr>
        <w:tc>
          <w:tcPr>
            <w:tcW w:w="165" w:type="pct"/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395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автоматизированных рабочих мест, подключенных к общим информационным системам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3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76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1390"/>
        </w:trPr>
        <w:tc>
          <w:tcPr>
            <w:tcW w:w="165" w:type="pct"/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395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опубликованной информации (формуляров) на едином портале бюджетной системы Российской Федерации в соответствии с требованиями Минфина России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3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76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256"/>
        </w:trPr>
        <w:tc>
          <w:tcPr>
            <w:tcW w:w="3385" w:type="pct"/>
            <w:gridSpan w:val="6"/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значений оценки достижения целевых показателей задачи 1 муниципальной программы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176" w:type="pct"/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>
        <w:trPr>
          <w:trHeight w:val="705"/>
        </w:trPr>
        <w:tc>
          <w:tcPr>
            <w:tcW w:w="5000" w:type="pct"/>
            <w:gridSpan w:val="8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Целевые показатели задачи 2 «Обеспечение сбалансированности и недопущения превышения ограничений по размеру муниципального долга бюджета ЗАТО Северск»</w:t>
            </w:r>
          </w:p>
        </w:tc>
      </w:tr>
      <w:tr>
        <w:trPr>
          <w:trHeight w:val="2010"/>
        </w:trPr>
        <w:tc>
          <w:tcPr>
            <w:tcW w:w="165" w:type="pct"/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95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муниципального долга на конец года к годовому объему доходов бюджета ЗАТО Северск без учета объема безвозмездных поступлений и (или) поступлений налоговых доходов по дополнительным нормативам отчислений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29,56</w:t>
            </w:r>
          </w:p>
        </w:tc>
        <w:tc>
          <w:tcPr>
            <w:tcW w:w="463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32,15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32,15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76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390"/>
        </w:trPr>
        <w:tc>
          <w:tcPr>
            <w:tcW w:w="3385" w:type="pct"/>
            <w:gridSpan w:val="6"/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значений оценки достижения целевых показателей задачи 2 муниципальной программы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76" w:type="pct"/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>
        <w:trPr>
          <w:trHeight w:val="390"/>
        </w:trPr>
        <w:tc>
          <w:tcPr>
            <w:tcW w:w="3385" w:type="pct"/>
            <w:gridSpan w:val="6"/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достижения показателей решения задач муниципальной программы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76" w:type="pct"/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>
        <w:trPr>
          <w:trHeight w:val="510"/>
        </w:trPr>
        <w:tc>
          <w:tcPr>
            <w:tcW w:w="3385" w:type="pct"/>
            <w:gridSpan w:val="6"/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достижения целей и решения задач программы (СДМП)</w:t>
            </w:r>
          </w:p>
        </w:tc>
        <w:tc>
          <w:tcPr>
            <w:tcW w:w="439" w:type="pct"/>
            <w:shd w:val="clear" w:color="000000" w:fill="FFFFFF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  <w:bookmarkStart w:id="0" w:name="_GoBack"/>
            <w:bookmarkEnd w:id="0"/>
          </w:p>
        </w:tc>
        <w:tc>
          <w:tcPr>
            <w:tcW w:w="1176" w:type="pct"/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right="-31" w:firstLine="709"/>
        <w:jc w:val="righ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>
      <w:pPr>
        <w:spacing w:after="0" w:line="240" w:lineRule="auto"/>
        <w:jc w:val="center"/>
      </w:pPr>
    </w:p>
    <w:sectPr>
      <w:headerReference w:type="default" r:id="rId8"/>
      <w:footerReference w:type="default" r:id="rId9"/>
      <w:footerReference w:type="first" r:id="rId10"/>
      <w:pgSz w:w="16838" w:h="11905" w:orient="landscape"/>
      <w:pgMar w:top="1701" w:right="1134" w:bottom="567" w:left="1134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0"/>
      </w:rPr>
      <w:id w:val="1699502955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p>
        <w:pPr>
          <w:pStyle w:val="ac"/>
          <w:jc w:val="right"/>
          <w:rPr>
            <w:rFonts w:ascii="Times New Roman" w:hAnsi="Times New Roman" w:cs="Times New Roman"/>
            <w:color w:val="FFFFFF" w:themeColor="background1"/>
            <w:sz w:val="20"/>
            <w:szCs w:val="20"/>
          </w:rPr>
        </w:pPr>
        <w:r>
          <w:rPr>
            <w:rFonts w:ascii="Times New Roman" w:hAnsi="Times New Roman" w:cs="Times New Roman"/>
            <w:color w:val="FFFFFF" w:themeColor="background1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color w:val="FFFFFF" w:themeColor="background1"/>
            <w:sz w:val="20"/>
            <w:szCs w:val="20"/>
          </w:rPr>
          <w:instrText>PAGE   \* MERGEFORMAT</w:instrText>
        </w:r>
        <w:r>
          <w:rPr>
            <w:rFonts w:ascii="Times New Roman" w:hAnsi="Times New Roman" w:cs="Times New Roman"/>
            <w:color w:val="FFFFFF" w:themeColor="background1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color w:val="FFFFFF" w:themeColor="background1"/>
            <w:sz w:val="20"/>
            <w:szCs w:val="20"/>
          </w:rPr>
          <w:t>2</w:t>
        </w:r>
        <w:r>
          <w:rPr>
            <w:rFonts w:ascii="Times New Roman" w:hAnsi="Times New Roman" w:cs="Times New Roman"/>
            <w:color w:val="FFFFFF" w:themeColor="background1"/>
            <w:sz w:val="20"/>
            <w:szCs w:val="20"/>
          </w:rPr>
          <w:fldChar w:fldCharType="end"/>
        </w:r>
      </w:p>
    </w:sdtContent>
  </w:sdt>
  <w:p>
    <w:pPr>
      <w:pStyle w:val="ac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0369596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c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0369596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5402500"/>
      <w:docPartObj>
        <w:docPartGallery w:val="Page Numbers (Top of Page)"/>
        <w:docPartUnique/>
      </w:docPartObj>
    </w:sdtPr>
    <w:sdtContent>
      <w:p>
        <w:pPr>
          <w:pStyle w:val="aa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>
    <w:pPr>
      <w:pStyle w:val="aa"/>
      <w:tabs>
        <w:tab w:val="left" w:pos="10348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261359"/>
    <w:multiLevelType w:val="multilevel"/>
    <w:tmpl w:val="006457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1BF4FB8"/>
    <w:multiLevelType w:val="multilevel"/>
    <w:tmpl w:val="1AC8B99C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2">
    <w:nsid w:val="2B267E06"/>
    <w:multiLevelType w:val="hybridMultilevel"/>
    <w:tmpl w:val="15B88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7C6CA6"/>
    <w:multiLevelType w:val="hybridMultilevel"/>
    <w:tmpl w:val="77C89040"/>
    <w:lvl w:ilvl="0" w:tplc="6B74B07E">
      <w:start w:val="2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7C7180C"/>
    <w:multiLevelType w:val="multilevel"/>
    <w:tmpl w:val="5D5057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4039190B"/>
    <w:multiLevelType w:val="multilevel"/>
    <w:tmpl w:val="D3C835D8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6">
    <w:nsid w:val="43345582"/>
    <w:multiLevelType w:val="multilevel"/>
    <w:tmpl w:val="F85A19B4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2.1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7">
    <w:nsid w:val="447E53AA"/>
    <w:multiLevelType w:val="multilevel"/>
    <w:tmpl w:val="DE889E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6894B36"/>
    <w:multiLevelType w:val="hybridMultilevel"/>
    <w:tmpl w:val="39A82ACC"/>
    <w:lvl w:ilvl="0" w:tplc="FFFFFFFF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4ABD7269"/>
    <w:multiLevelType w:val="hybridMultilevel"/>
    <w:tmpl w:val="5024D192"/>
    <w:lvl w:ilvl="0" w:tplc="3FF06168">
      <w:start w:val="202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300E12"/>
    <w:multiLevelType w:val="hybridMultilevel"/>
    <w:tmpl w:val="D944C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335D80"/>
    <w:multiLevelType w:val="hybridMultilevel"/>
    <w:tmpl w:val="8D346536"/>
    <w:lvl w:ilvl="0" w:tplc="D786D8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C77D8E"/>
    <w:multiLevelType w:val="multilevel"/>
    <w:tmpl w:val="2CD41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13">
    <w:nsid w:val="6A5C20B5"/>
    <w:multiLevelType w:val="multilevel"/>
    <w:tmpl w:val="95F20A8A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14">
    <w:nsid w:val="7B647C89"/>
    <w:multiLevelType w:val="hybridMultilevel"/>
    <w:tmpl w:val="614E7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912570"/>
    <w:multiLevelType w:val="hybridMultilevel"/>
    <w:tmpl w:val="E60CF582"/>
    <w:lvl w:ilvl="0" w:tplc="8ED03B5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10"/>
  </w:num>
  <w:num w:numId="3">
    <w:abstractNumId w:val="15"/>
  </w:num>
  <w:num w:numId="4">
    <w:abstractNumId w:val="1"/>
  </w:num>
  <w:num w:numId="5">
    <w:abstractNumId w:val="13"/>
  </w:num>
  <w:num w:numId="6">
    <w:abstractNumId w:val="12"/>
  </w:num>
  <w:num w:numId="7">
    <w:abstractNumId w:val="11"/>
  </w:num>
  <w:num w:numId="8">
    <w:abstractNumId w:val="3"/>
  </w:num>
  <w:num w:numId="9">
    <w:abstractNumId w:val="6"/>
  </w:num>
  <w:num w:numId="10">
    <w:abstractNumId w:val="4"/>
  </w:num>
  <w:num w:numId="11">
    <w:abstractNumId w:val="0"/>
  </w:num>
  <w:num w:numId="12">
    <w:abstractNumId w:val="7"/>
  </w:num>
  <w:num w:numId="13">
    <w:abstractNumId w:val="14"/>
  </w:num>
  <w:num w:numId="14">
    <w:abstractNumId w:val="9"/>
  </w:num>
  <w:num w:numId="15">
    <w:abstractNumId w:val="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BFAF788B-F1D6-4DCA-B190-EEAF7ED5B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pPr>
      <w:keepNext/>
      <w:spacing w:after="0" w:line="240" w:lineRule="auto"/>
      <w:jc w:val="center"/>
      <w:outlineLvl w:val="0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ody Text"/>
    <w:basedOn w:val="a0"/>
    <w:link w:val="a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1"/>
    <w:link w:val="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0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Pr>
      <w:rFonts w:ascii="Segoe UI" w:hAnsi="Segoe UI" w:cs="Segoe UI"/>
      <w:sz w:val="18"/>
      <w:szCs w:val="18"/>
    </w:rPr>
  </w:style>
  <w:style w:type="paragraph" w:styleId="a9">
    <w:name w:val="Normal (Web)"/>
    <w:basedOn w:val="a0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">
    <w:name w:val="Список простой"/>
    <w:basedOn w:val="a0"/>
    <w:pPr>
      <w:numPr>
        <w:numId w:val="1"/>
      </w:num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0"/>
    <w:link w:val="a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</w:style>
  <w:style w:type="paragraph" w:styleId="ac">
    <w:name w:val="footer"/>
    <w:basedOn w:val="a0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</w:style>
  <w:style w:type="table" w:styleId="ae">
    <w:name w:val="Table Grid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2">
    <w:name w:val="Body Text 2"/>
    <w:basedOn w:val="a0"/>
    <w:link w:val="20"/>
    <w:uiPriority w:val="99"/>
    <w:semiHidden/>
    <w:unhideWhenUsed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</w:style>
  <w:style w:type="character" w:styleId="af">
    <w:name w:val="Hyperlink"/>
    <w:basedOn w:val="a1"/>
    <w:uiPriority w:val="99"/>
    <w:unhideWhenUsed/>
    <w:rPr>
      <w:color w:val="0563C1" w:themeColor="hyperlink"/>
      <w:u w:val="single"/>
    </w:rPr>
  </w:style>
  <w:style w:type="character" w:customStyle="1" w:styleId="10">
    <w:name w:val="Заголовок 1 Знак"/>
    <w:basedOn w:val="a1"/>
    <w:link w:val="1"/>
    <w:uiPriority w:val="99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</w:style>
  <w:style w:type="table" w:customStyle="1" w:styleId="12">
    <w:name w:val="Сетка таблицы1"/>
    <w:basedOn w:val="a2"/>
    <w:next w:val="ae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semiHidden/>
    <w:unhideWhenUsed/>
    <w:rPr>
      <w:color w:val="800080"/>
      <w:u w:val="single"/>
    </w:rPr>
  </w:style>
  <w:style w:type="paragraph" w:customStyle="1" w:styleId="xl65">
    <w:name w:val="xl65"/>
    <w:basedOn w:val="a0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lang w:eastAsia="ru-RU"/>
    </w:rPr>
  </w:style>
  <w:style w:type="paragraph" w:customStyle="1" w:styleId="xl73">
    <w:name w:val="xl73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PT Astra Serif" w:eastAsia="Times New Roman" w:hAnsi="PT Astra Serif" w:cs="Times New Roman"/>
      <w:lang w:eastAsia="ru-RU"/>
    </w:rPr>
  </w:style>
  <w:style w:type="paragraph" w:customStyle="1" w:styleId="xl74">
    <w:name w:val="xl74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table" w:customStyle="1" w:styleId="21">
    <w:name w:val="Сетка таблицы2"/>
    <w:basedOn w:val="a2"/>
    <w:next w:val="ae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3"/>
    <w:uiPriority w:val="99"/>
    <w:semiHidden/>
    <w:unhideWhenUsed/>
  </w:style>
  <w:style w:type="table" w:customStyle="1" w:styleId="3">
    <w:name w:val="Сетка таблицы3"/>
    <w:basedOn w:val="a2"/>
    <w:next w:val="ae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54661-8373-4DF7-A81E-CF706112E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Kirillova</dc:creator>
  <cp:keywords/>
  <dc:description/>
  <cp:lastModifiedBy>Ткачева Т.Н.</cp:lastModifiedBy>
  <cp:revision>4</cp:revision>
  <cp:lastPrinted>2025-07-22T07:12:00Z</cp:lastPrinted>
  <dcterms:created xsi:type="dcterms:W3CDTF">2026-02-18T09:39:00Z</dcterms:created>
  <dcterms:modified xsi:type="dcterms:W3CDTF">2026-02-25T09:57:00Z</dcterms:modified>
</cp:coreProperties>
</file>